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samuel-4"/>
    <w:p>
      <w:pPr>
        <w:pStyle w:val="Heading1"/>
      </w:pPr>
      <w:r>
        <w:t xml:space="preserve">Homiletics Analysis: 2 Samuel 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Samuel 4 records the assassination of Ish-bosheth, Saul’s remaining son and the rival king over Israel, by two of his own military commanders, Baanah and Rechab. The chapter opens by establishing Ish-bosheth’s weakness and the collapse of Israelite morale following Abner’s death (v. 1). Rechab and Baanah, commanders of raiding bands under Ish-bosheth, exploit their access to the king’s household, entering under the pretense of obtaining wheat, and murder him while he sleeps at midday (vv. 2–7). They behead him and carry his head to David at Hebron, presenting it as a trophy of loyalty and expecting reward (v. 8). David’s response is swift and unambiguous: he executes both men for the murder of a righteous man in his own house upon his bed, commands their hands and feet cut off, and has them hung at the pool of Hebron — mirroring his treatment of the Amalekite who claimed to have killed Saul (vv. 9–12). Ish-bosheth’s head is given an honorable burial in Abner’s tomb. The chapter closes with the house of Saul extinguished, the path cleared for David’s kingship over all Israel — not by David’s own hand, but by the removal of every obstacle through God’s providence operating through morally compromised human agents.</w:t>
      </w:r>
    </w:p>
    <w:p>
      <w:pPr>
        <w:pStyle w:val="BodyText"/>
      </w:pPr>
      <w:r>
        <w:rPr>
          <w:b/>
          <w:bCs/>
        </w:rPr>
        <w:t xml:space="preserve">This Text — Intent:</w:t>
      </w:r>
    </w:p>
    <w:p>
      <w:pPr>
        <w:pStyle w:val="BodyText"/>
      </w:pPr>
      <w:r>
        <w:t xml:space="preserve">God is using this passage to demonstrate that His purposes advance through history without requiring — or tolerating — the moral compromises men are willing to make on His behalf. David’s kingdom comes not because David manipulates, schemes, or licenses murder to clear his path to the throne. It comes in spite of the schemes of men, and David’s refusal to accept treacherous service as legitimate becomes the defining moral signature of his kingship. God intends this text to confront the reader’s temptation to believe that righteous ends justify unrighteous means, and to reorient trust toward a God whose purposes do not require human corruption to succeed. The passage also deepens the reader’s understanding of David as a type of the coming King — one who will not benefit from the death of the innocent, who insists on justice even when injustice would serve his interests.</w:t>
      </w:r>
    </w:p>
    <w:p>
      <w:r>
        <w:pict>
          <v:rect style="width:0;height:1.5pt" o:hralign="center" o:hrstd="t" o:hr="t"/>
        </w:pict>
      </w:r>
    </w:p>
    <w:p>
      <w:pPr>
        <w:pStyle w:val="FirstParagraph"/>
      </w:pPr>
      <w:r>
        <w:rPr>
          <w:b/>
          <w:bCs/>
        </w:rPr>
        <w:t xml:space="preserve">Subject Sentence:</w:t>
      </w:r>
      <w:r>
        <w:t xml:space="preserve"> </w:t>
      </w:r>
      <w:r>
        <w:t xml:space="preserve">God’s purposes advance sovereignly — never requiring, always judging, treacherous assistance on His behalf.</w:t>
      </w:r>
    </w:p>
    <w:p>
      <w:r>
        <w:pict>
          <v:rect style="width:0;height:1.5pt" o:hralign="center" o:hrstd="t" o:hr="t"/>
        </w:pict>
      </w:r>
    </w:p>
    <w:p>
      <w:pPr>
        <w:pStyle w:val="FirstParagraph"/>
      </w:pPr>
      <w:r>
        <w:rPr>
          <w:b/>
          <w:bCs/>
        </w:rPr>
        <w:t xml:space="preserve">Primary Claim:</w:t>
      </w:r>
      <w:r>
        <w:t xml:space="preserve"> </w:t>
      </w:r>
      <w:r>
        <w:t xml:space="preserve">God does not need treachery to accomplish His purposes, and He will not reward it when men offer it as service to Him. David’s kingdom comes not through blood shed in His name but through the patient, sovereign work of the One who judges those who presume to clear His path.</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David’s justice</w:t>
      </w:r>
      <w:r>
        <w:t xml:space="preserve">: Some readers have questioned whether David’s execution of Baanah and Rechab is genuine moral outrage or political calculation — that is, whether David is simply distancing himself from a murder that was politically convenient for him. This reading has a surface plausibility: Ish-bosheth’s death does clear the way to the throne of all Israel. But the text does not support a cynical reading. David’s speech to the assassins (vv. 9–11) is structurally parallel to his condemnation of the Amalekite in 2 Samuel 1 — the same appeal to the LORD who delivers him from every distress, the same insistence that the murdered man was</w:t>
      </w:r>
      <w:r>
        <w:t xml:space="preserve"> </w:t>
      </w:r>
      <w:r>
        <w:t xml:space="preserve">“righteous,”</w:t>
      </w:r>
      <w:r>
        <w:t xml:space="preserve"> </w:t>
      </w:r>
      <w:r>
        <w:t xml:space="preserve">the same framing of assassination as the murder of an innocent man. The consistency of David’s moral posture across both episodes argues against performance and toward genuine conviction. David’s pattern throughout this section of Samuel is precisely the refusal to benefit from the death of those who stand between him and the throne — Nabal, Saul (twice), Abner, and now Ish-bosheth. The cynical reading imports a Machiavellian interpretive grid that the text actively resists and that would undercut the entire theological argument Samuel is making about what kind of king David is.</w:t>
      </w:r>
    </w:p>
    <w:p>
      <w:pPr>
        <w:pStyle w:val="BodyText"/>
      </w:pPr>
      <w:r>
        <w:rPr>
          <w:b/>
          <w:bCs/>
        </w:rPr>
        <w:t xml:space="preserve">David’s passivity and its theological significance</w:t>
      </w:r>
      <w:r>
        <w:t xml:space="preserve">: A common Arminian or broadly evangelical reading of this passage focuses on David as a moral exemplar — a model of patient waiting on God, refusing to take matters into his own hands. This reading is not wrong but is incomplete. David’s refusal to use treachery is not merely a lesson in patience; it is a display of the character God requires in the one who bears His covenant promises. The Reformed reading adds a dimension the exemplar reading misses: it is God who is ensuring the path clears, and David’s refusal to act corruptly is as much a demonstration of God’s covenant faithfulness as it is of David’s character. The text’s driving concern is theological — what kind of God advances His kingdom, and by what means — not primarily moral-exemplary. The exemplar reading is worth retaining as a secondary application but must be grounded in the theological claim, not substituted for it.</w:t>
      </w:r>
    </w:p>
    <w:p>
      <w:pPr>
        <w:pStyle w:val="BodyText"/>
      </w:pPr>
      <w:r>
        <w:rPr>
          <w:b/>
          <w:bCs/>
        </w:rPr>
        <w:t xml:space="preserve">The fate of Ish-bosheth and the question of innocence</w:t>
      </w:r>
      <w:r>
        <w:t xml:space="preserve">: Some expositors have questioned whether Ish-bosheth is genuinely</w:t>
      </w:r>
      <w:r>
        <w:t xml:space="preserve"> </w:t>
      </w:r>
      <w:r>
        <w:t xml:space="preserve">“righteous”</w:t>
      </w:r>
      <w:r>
        <w:t xml:space="preserve"> </w:t>
      </w:r>
      <w:r>
        <w:t xml:space="preserve">in David’s description (v. 11), given that he was a rival king set up in opposition to David’s divinely appointed rule. The text, however, does not engage in this complexity — David calls him</w:t>
      </w:r>
      <w:r>
        <w:t xml:space="preserve"> </w:t>
      </w:r>
      <w:r>
        <w:t xml:space="preserve">“a righteous man in his own house”</w:t>
      </w:r>
      <w:r>
        <w:t xml:space="preserve"> </w:t>
      </w:r>
      <w:r>
        <w:t xml:space="preserve">and the narrator has shown him to be a weak, politically manipulated figure (v. 1) rather than an active aggressor against David. The point is not that Ish-bosheth was without fault in the larger conflict, but that he had done nothing that warranted assassination, and that his killers had violated the most basic covenant obligations of loyalty and hospitality. David’s language should not be pressed to make a complete theological verdict on Ish-bosheth’s status; it is a judicial and moral statement about the wrongness of this specific act.</w:t>
      </w:r>
    </w:p>
    <w:p>
      <w:pPr>
        <w:pStyle w:val="BodyText"/>
      </w:pPr>
      <w:r>
        <w:rPr>
          <w:b/>
          <w:bCs/>
        </w:rPr>
        <w:t xml:space="preserve">The Reformed reading</w:t>
      </w:r>
      <w:r>
        <w:t xml:space="preserve"> </w:t>
      </w:r>
      <w:r>
        <w:t xml:space="preserve">is that 2 Samuel 4 is a chapter about the character of God’s kingdom-building — that God’s purposes advance sovereignly and do not require or reward human treachery. David is the covenant king in waiting, and his refusal to benefit from immoral assistance is both a moral requirement for the office he is being prepared for and a witness to the character of the God who is preparing him. This reading accounts for the full theological architecture of Samuel without reducing the chapter to either moral exemplarism or political realism.</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50:19–20</w:t>
      </w:r>
      <w:r>
        <w:t xml:space="preserve"> </w:t>
      </w:r>
      <w:r>
        <w:t xml:space="preserve">— Joseph’s declaration that what his brothers intended for evil God intended for good; the canonical precedent that God’s purposes advance through and despite human treachery without requiring it or rewarding it.</w:t>
      </w:r>
    </w:p>
    <w:p>
      <w:pPr>
        <w:numPr>
          <w:ilvl w:val="0"/>
          <w:numId w:val="1001"/>
        </w:numPr>
      </w:pPr>
      <w:r>
        <w:rPr>
          <w:b/>
          <w:bCs/>
        </w:rPr>
        <w:t xml:space="preserve">2 Samuel 1:1–16</w:t>
      </w:r>
      <w:r>
        <w:t xml:space="preserve"> </w:t>
      </w:r>
      <w:r>
        <w:t xml:space="preserve">— David’s execution of the Amalekite who claimed credit for Saul’s death; the direct structural parallel establishes that David’s response in chapter 4 is consistent conviction, not isolated calculation — making both episodes part of a single theological portrait.</w:t>
      </w:r>
    </w:p>
    <w:p>
      <w:pPr>
        <w:numPr>
          <w:ilvl w:val="0"/>
          <w:numId w:val="1001"/>
        </w:numPr>
      </w:pPr>
      <w:r>
        <w:rPr>
          <w:b/>
          <w:bCs/>
        </w:rPr>
        <w:t xml:space="preserve">Psalm 37:7–9</w:t>
      </w:r>
      <w:r>
        <w:t xml:space="preserve"> </w:t>
      </w:r>
      <w:r>
        <w:t xml:space="preserve">—</w:t>
      </w:r>
      <w:r>
        <w:t xml:space="preserve"> </w:t>
      </w:r>
      <w:r>
        <w:t xml:space="preserve">“Be still before the LORD and wait patiently for him; fret not yourself over the one who prospers in his way, over the man who carries out evil devices… those who wait for the LORD shall inherit the land.”</w:t>
      </w:r>
      <w:r>
        <w:t xml:space="preserve"> </w:t>
      </w:r>
      <w:r>
        <w:t xml:space="preserve">The Psalms articulate the theology that grounds David’s patient refusal to resort to treachery.</w:t>
      </w:r>
    </w:p>
    <w:p>
      <w:pPr>
        <w:numPr>
          <w:ilvl w:val="0"/>
          <w:numId w:val="1001"/>
        </w:numPr>
      </w:pPr>
      <w:r>
        <w:rPr>
          <w:b/>
          <w:bCs/>
        </w:rPr>
        <w:t xml:space="preserve">Romans 3:8</w:t>
      </w:r>
      <w:r>
        <w:t xml:space="preserve"> </w:t>
      </w:r>
      <w:r>
        <w:t xml:space="preserve">— Paul’s refutation of the charge that one might</w:t>
      </w:r>
      <w:r>
        <w:t xml:space="preserve"> </w:t>
      </w:r>
      <w:r>
        <w:t xml:space="preserve">“do evil that good may come”</w:t>
      </w:r>
      <w:r>
        <w:t xml:space="preserve">; the apostolic confirmation that the ends-justify-means reasoning these assassins embody is explicitly condemned in the canon.</w:t>
      </w:r>
    </w:p>
    <w:p>
      <w:pPr>
        <w:numPr>
          <w:ilvl w:val="0"/>
          <w:numId w:val="1001"/>
        </w:numPr>
      </w:pPr>
      <w:r>
        <w:rPr>
          <w:b/>
          <w:bCs/>
        </w:rPr>
        <w:t xml:space="preserve">Acts 2:22–24</w:t>
      </w:r>
      <w:r>
        <w:t xml:space="preserve"> </w:t>
      </w:r>
      <w:r>
        <w:t xml:space="preserve">— Peter’s Pentecost sermon:</w:t>
      </w:r>
      <w:r>
        <w:t xml:space="preserve"> </w:t>
      </w:r>
      <w:r>
        <w:t xml:space="preserve">“this Jesus, delivered up according to the definite plan and foreknowledge of God, you crucified and killed by the hands of lawless men.”</w:t>
      </w:r>
      <w:r>
        <w:t xml:space="preserve"> </w:t>
      </w:r>
      <w:r>
        <w:t xml:space="preserve">The ultimate canonical fulfillment — God’s greatest purpose accomplished through treacherous human action, with the treachery judged and overruled rather than rewarded. David’s refusal to benefit from Ish-bosheth’s murder foreshadows the ultimate King who does not call down destruction on those who wrongly seek to advance His cause.</w:t>
      </w:r>
    </w:p>
    <w:p>
      <w:r>
        <w:pict>
          <v:rect style="width:0;height:1.5pt" o:hralign="center" o:hrstd="t" o:hr="t"/>
        </w:pict>
      </w:r>
    </w:p>
    <w:p>
      <w:pPr>
        <w:pStyle w:val="FirstParagraph"/>
      </w:pPr>
      <w:r>
        <w:rPr>
          <w:b/>
          <w:bCs/>
        </w:rPr>
        <w:t xml:space="preserve">Aim:</w:t>
      </w:r>
      <w:r>
        <w:t xml:space="preserve"> </w:t>
      </w:r>
      <w:r>
        <w:t xml:space="preserve">To demonstrate that God’s sovereign purposes never require human treachery to succeed, and to call readers away from the corruption of believing righteous ends justify unrighteous means — anchoring that call in the character of the God who judges such reasoning and in the type of the coming King who embodies its rejection.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4:1</w:t>
            </w:r>
          </w:p>
        </w:tc>
        <w:tc>
          <w:tcPr/>
          <w:p>
            <w:pPr>
              <w:pStyle w:val="Compact"/>
            </w:pPr>
            <w:r>
              <w:t xml:space="preserve">Ish-bosheth hears of Abner’s death; his courage fails; all Israel is dismayed</w:t>
            </w:r>
          </w:p>
        </w:tc>
        <w:tc>
          <w:tcPr/>
          <w:p>
            <w:pPr>
              <w:pStyle w:val="Compact"/>
            </w:pPr>
            <w:r>
              <w:t xml:space="preserve">Establishes political vacuum and Ish-bosheth’s weakness; sets up the vulnerability that the assassins will exploit</w:t>
            </w:r>
          </w:p>
        </w:tc>
      </w:tr>
      <w:tr>
        <w:tc>
          <w:tcPr/>
          <w:p>
            <w:pPr>
              <w:pStyle w:val="Compact"/>
            </w:pPr>
            <w:r>
              <w:t xml:space="preserve">4:2–3</w:t>
            </w:r>
          </w:p>
        </w:tc>
        <w:tc>
          <w:tcPr/>
          <w:p>
            <w:pPr>
              <w:pStyle w:val="Compact"/>
            </w:pPr>
            <w:r>
              <w:t xml:space="preserve">Introduction of Baanah and Rechab, sons of Rimmon the Beerothite, commanders under Ish-bosheth; note on the Beerothites fleeing to Gittaim</w:t>
            </w:r>
          </w:p>
        </w:tc>
        <w:tc>
          <w:tcPr/>
          <w:p>
            <w:pPr>
              <w:pStyle w:val="Compact"/>
            </w:pPr>
            <w:r>
              <w:t xml:space="preserve">Identifies the assassins as Benjaminites — Saul’s own tribe; the parenthetical note on Beerothites may explain their particular vulnerability or alienation</w:t>
            </w:r>
          </w:p>
        </w:tc>
      </w:tr>
      <w:tr>
        <w:tc>
          <w:tcPr/>
          <w:p>
            <w:pPr>
              <w:pStyle w:val="Compact"/>
            </w:pPr>
            <w:r>
              <w:t xml:space="preserve">4:4</w:t>
            </w:r>
          </w:p>
        </w:tc>
        <w:tc>
          <w:tcPr/>
          <w:p>
            <w:pPr>
              <w:pStyle w:val="Compact"/>
            </w:pPr>
            <w:r>
              <w:t xml:space="preserve">Parenthetical note on Mephibosheth, Jonathan’s crippled son</w:t>
            </w:r>
          </w:p>
        </w:tc>
        <w:tc>
          <w:tcPr/>
          <w:p>
            <w:pPr>
              <w:pStyle w:val="Compact"/>
            </w:pPr>
            <w:r>
              <w:t xml:space="preserve">Establishes that the line of Jonathan survives but is non-threatening; clears the reader’s concern about other Saulide heirs; prepares for 2 Samuel 9</w:t>
            </w:r>
          </w:p>
        </w:tc>
      </w:tr>
      <w:tr>
        <w:tc>
          <w:tcPr/>
          <w:p>
            <w:pPr>
              <w:pStyle w:val="Compact"/>
            </w:pPr>
            <w:r>
              <w:t xml:space="preserve">4:5–7</w:t>
            </w:r>
          </w:p>
        </w:tc>
        <w:tc>
          <w:tcPr/>
          <w:p>
            <w:pPr>
              <w:pStyle w:val="Compact"/>
            </w:pPr>
            <w:r>
              <w:t xml:space="preserve">Baanah and Rechab enter Ish-bosheth’s house at midday, obtain wheat, then murder him as he sleeps; they behead him and flee through the Arabah</w:t>
            </w:r>
          </w:p>
        </w:tc>
        <w:tc>
          <w:tcPr/>
          <w:p>
            <w:pPr>
              <w:pStyle w:val="Compact"/>
            </w:pPr>
            <w:r>
              <w:t xml:space="preserve">The murder is presented without editorial glorification; the midday timing and the sleeping king emphasize treachery and the violation of hospitality and trust</w:t>
            </w:r>
          </w:p>
        </w:tc>
      </w:tr>
      <w:tr>
        <w:tc>
          <w:tcPr/>
          <w:p>
            <w:pPr>
              <w:pStyle w:val="Compact"/>
            </w:pPr>
            <w:r>
              <w:t xml:space="preserve">4:8</w:t>
            </w:r>
          </w:p>
        </w:tc>
        <w:tc>
          <w:tcPr/>
          <w:p>
            <w:pPr>
              <w:pStyle w:val="Compact"/>
            </w:pPr>
            <w:r>
              <w:t xml:space="preserve">The assassins present Ish-bosheth’s head to David at Hebron, claiming the LORD has avenged David against Saul and his offspring</w:t>
            </w:r>
          </w:p>
        </w:tc>
        <w:tc>
          <w:tcPr/>
          <w:p>
            <w:pPr>
              <w:pStyle w:val="Compact"/>
            </w:pPr>
            <w:r>
              <w:t xml:space="preserve">They frame the murder as divine providence and loyal service; they invoke God’s name in defense of their action — the precise theological error the passage addresses</w:t>
            </w:r>
          </w:p>
        </w:tc>
      </w:tr>
      <w:tr>
        <w:tc>
          <w:tcPr/>
          <w:p>
            <w:pPr>
              <w:pStyle w:val="Compact"/>
            </w:pPr>
            <w:r>
              <w:t xml:space="preserve">4:9–11</w:t>
            </w:r>
          </w:p>
        </w:tc>
        <w:tc>
          <w:tcPr/>
          <w:p>
            <w:pPr>
              <w:pStyle w:val="Compact"/>
            </w:pPr>
            <w:r>
              <w:t xml:space="preserve">David’s response: appeals to the LORD who has delivered him from every adversity; recalls executing the Amalekite for claiming to have killed Saul; declares Ish-bosheth a righteous man murdered in his own house; pronounces sentence</w:t>
            </w:r>
          </w:p>
        </w:tc>
        <w:tc>
          <w:tcPr/>
          <w:p>
            <w:pPr>
              <w:pStyle w:val="Compact"/>
            </w:pPr>
            <w:r>
              <w:t xml:space="preserve">David’s moral logic is explicit — if he executed the one claiming credit for Saul’s death, how much more must he judge the murder of Saul’s innocent son; the parallelism is deliberate</w:t>
            </w:r>
          </w:p>
        </w:tc>
      </w:tr>
      <w:tr>
        <w:tc>
          <w:tcPr/>
          <w:p>
            <w:pPr>
              <w:pStyle w:val="Compact"/>
            </w:pPr>
            <w:r>
              <w:t xml:space="preserve">4:12</w:t>
            </w:r>
          </w:p>
        </w:tc>
        <w:tc>
          <w:tcPr/>
          <w:p>
            <w:pPr>
              <w:pStyle w:val="Compact"/>
            </w:pPr>
            <w:r>
              <w:t xml:space="preserve">David commands their execution; their hands and feet are cut off and they are hung at the pool of Hebron; Ish-bosheth’s head is buried in Abner’s tomb</w:t>
            </w:r>
          </w:p>
        </w:tc>
        <w:tc>
          <w:tcPr/>
          <w:p>
            <w:pPr>
              <w:pStyle w:val="Compact"/>
            </w:pPr>
            <w:r>
              <w:t xml:space="preserve">The punishment is public and symbolic — the instruments of their treachery are displayed; the honorable burial of Ish-bosheth’s head is a deliberate act of moral counter-narrative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4:1–3</w:t>
            </w:r>
          </w:p>
        </w:tc>
        <w:tc>
          <w:tcPr/>
          <w:p>
            <w:pPr>
              <w:pStyle w:val="Compact"/>
            </w:pPr>
            <w:r>
              <w:t xml:space="preserve">The Vacuum: Ish-bosheth’s weakness and the men who see opportunity in it</w:t>
            </w:r>
          </w:p>
        </w:tc>
      </w:tr>
      <w:tr>
        <w:tc>
          <w:tcPr/>
          <w:p>
            <w:pPr>
              <w:pStyle w:val="Compact"/>
            </w:pPr>
            <w:r>
              <w:t xml:space="preserve">2</w:t>
            </w:r>
          </w:p>
        </w:tc>
        <w:tc>
          <w:tcPr/>
          <w:p>
            <w:pPr>
              <w:pStyle w:val="Compact"/>
            </w:pPr>
            <w:r>
              <w:t xml:space="preserve">4:4</w:t>
            </w:r>
          </w:p>
        </w:tc>
        <w:tc>
          <w:tcPr/>
          <w:p>
            <w:pPr>
              <w:pStyle w:val="Compact"/>
            </w:pPr>
            <w:r>
              <w:t xml:space="preserve">The Survivor: The parenthetical note on Mephibosheth — the remnant of Jonathan</w:t>
            </w:r>
          </w:p>
        </w:tc>
      </w:tr>
      <w:tr>
        <w:tc>
          <w:tcPr/>
          <w:p>
            <w:pPr>
              <w:pStyle w:val="Compact"/>
            </w:pPr>
            <w:r>
              <w:t xml:space="preserve">3</w:t>
            </w:r>
          </w:p>
        </w:tc>
        <w:tc>
          <w:tcPr/>
          <w:p>
            <w:pPr>
              <w:pStyle w:val="Compact"/>
            </w:pPr>
            <w:r>
              <w:t xml:space="preserve">4:5–8</w:t>
            </w:r>
          </w:p>
        </w:tc>
        <w:tc>
          <w:tcPr/>
          <w:p>
            <w:pPr>
              <w:pStyle w:val="Compact"/>
            </w:pPr>
            <w:r>
              <w:t xml:space="preserve">The Crime: The assassination and its self-justifying presentation to David</w:t>
            </w:r>
          </w:p>
        </w:tc>
      </w:tr>
      <w:tr>
        <w:tc>
          <w:tcPr/>
          <w:p>
            <w:pPr>
              <w:pStyle w:val="Compact"/>
            </w:pPr>
            <w:r>
              <w:t xml:space="preserve">4</w:t>
            </w:r>
          </w:p>
        </w:tc>
        <w:tc>
          <w:tcPr/>
          <w:p>
            <w:pPr>
              <w:pStyle w:val="Compact"/>
            </w:pPr>
            <w:r>
              <w:t xml:space="preserve">4:9–12</w:t>
            </w:r>
          </w:p>
        </w:tc>
        <w:tc>
          <w:tcPr/>
          <w:p>
            <w:pPr>
              <w:pStyle w:val="Compact"/>
            </w:pPr>
            <w:r>
              <w:t xml:space="preserve">The Verdict: David’s refusal, his moral reasoning, and the execution of justice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purposes advance sovereignly — never requiring, always judging, treacherous assistance on His behalf.</w:t>
      </w:r>
    </w:p>
    <w:p>
      <w:pPr>
        <w:pStyle w:val="BodyText"/>
      </w:pPr>
      <w:r>
        <w:rPr>
          <w:b/>
          <w:bCs/>
        </w:rPr>
        <w:t xml:space="preserve">Primary Claim:</w:t>
      </w:r>
      <w:r>
        <w:t xml:space="preserve"> </w:t>
      </w:r>
      <w:r>
        <w:t xml:space="preserve">God does not need treachery to accomplish His purposes, and He will not reward it when men offer it as service to Him. David’s kingdom comes not through blood shed in His name but through the patient, sovereign work of the One who judges those who presume to clear His path.</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what</w:t>
      </w:r>
      <w:r>
        <w:rPr>
          <w:b/>
          <w:bCs/>
        </w:rPr>
        <w:t xml:space="preserve"> </w:t>
      </w:r>
      <w:r>
        <w:rPr>
          <w:b/>
          <w:bCs/>
        </w:rPr>
        <w:t xml:space="preserve">“helping God”</w:t>
      </w:r>
      <w:r>
        <w:rPr>
          <w:b/>
          <w:bCs/>
        </w:rPr>
        <w:t xml:space="preserve"> </w:t>
      </w:r>
      <w:r>
        <w:rPr>
          <w:b/>
          <w:bCs/>
        </w:rPr>
        <w:t xml:space="preserve">looks like</w:t>
      </w:r>
      <w:r>
        <w:t xml:space="preserve"> </w:t>
      </w:r>
      <w:r>
        <w:rPr>
          <w:i/>
          <w:iCs/>
        </w:rPr>
        <w:t xml:space="preserve">(Mind/Belief)</w:t>
      </w:r>
      <w:r>
        <w:t xml:space="preserve"> </w:t>
      </w:r>
      <w:r>
        <w:t xml:space="preserve">Rechab and Baanah genuinely believed they were doing David — and perhaps God — a service. They even invoked the LORD’s name to frame their murder as divine providence (v. 8). This is the oldest religious error: baptizing our moral compromises with theological language. Readers need to examine the places where they have told themselves that cutting ethical corners, leveraging a person’s weakness, or capitalizing on someone else’s misfortune is somehow advancing the right cause or God’s purposes. God is not waiting for your help in the form of your sin. His kingdom does not need your treachery, and invoking His name in defense of it does not sanctify it — it compounds it.</w:t>
      </w:r>
    </w:p>
    <w:p>
      <w:pPr>
        <w:pStyle w:val="BodyText"/>
      </w:pPr>
      <w:r>
        <w:rPr>
          <w:b/>
          <w:bCs/>
        </w:rPr>
        <w:t xml:space="preserve">2. Grieve the ease with which we justify means by ends</w:t>
      </w:r>
      <w:r>
        <w:t xml:space="preserve"> </w:t>
      </w:r>
      <w:r>
        <w:rPr>
          <w:i/>
          <w:iCs/>
        </w:rPr>
        <w:t xml:space="preserve">(Affections/Worship)</w:t>
      </w:r>
      <w:r>
        <w:t xml:space="preserve"> </w:t>
      </w:r>
      <w:r>
        <w:t xml:space="preserve">The assassins’ logic was simple: Ish-bosheth was David’s enemy, his death was beneficial, therefore killing him was good service. This logic feels clean and efficient, and it is deeply comfortable to the human heart. Readers should be brought to grief over how readily they adopt this reasoning in the smaller decisions of everyday life — the half-truth told to produce a good outcome, the manipulation of a situation to land where you knew it should land, the exploitation of someone else’s weakness to secure what you were owed anyway. This is not a minor failing; it is the corruption of character that disqualifies a person from bearing the image of the God who judges it. Let that land with weight.</w:t>
      </w:r>
    </w:p>
    <w:p>
      <w:pPr>
        <w:pStyle w:val="BodyText"/>
      </w:pPr>
      <w:r>
        <w:rPr>
          <w:b/>
          <w:bCs/>
        </w:rPr>
        <w:t xml:space="preserve">3. Trust that God’s purposes do not require your corruption to succeed</w:t>
      </w:r>
      <w:r>
        <w:t xml:space="preserve"> </w:t>
      </w:r>
      <w:r>
        <w:rPr>
          <w:i/>
          <w:iCs/>
        </w:rPr>
        <w:t xml:space="preserve">(Mind/Belief)</w:t>
      </w:r>
      <w:r>
        <w:t xml:space="preserve"> </w:t>
      </w:r>
      <w:r>
        <w:t xml:space="preserve">David’s kingdom was coming. The house of Saul was collapsing on its own. No murder was necessary. The reader standing in a situation where the right outcome seems to require wrong action needs to hear this clearly: God’s purposes for your life, your family, your work, your church are not so fragile that they will fail unless you compromise. The God who delivered David from every adversity (v. 9) — not from some adversities, not from most — is the same God governing the circumstances you are tempted to manipulate. Wait. The path will clear. And it will clear in a way that does not leave blood on your hands.</w:t>
      </w:r>
    </w:p>
    <w:p>
      <w:pPr>
        <w:pStyle w:val="BodyText"/>
      </w:pPr>
      <w:r>
        <w:rPr>
          <w:b/>
          <w:bCs/>
        </w:rPr>
        <w:t xml:space="preserve">4. Honor those who have been wronged, even when honoring them costs nothing and dishonoring them costs nothing either</w:t>
      </w:r>
      <w:r>
        <w:t xml:space="preserve"> </w:t>
      </w:r>
      <w:r>
        <w:rPr>
          <w:i/>
          <w:iCs/>
        </w:rPr>
        <w:t xml:space="preserve">(Will/Behavior)</w:t>
      </w:r>
      <w:r>
        <w:t xml:space="preserve"> </w:t>
      </w:r>
      <w:r>
        <w:t xml:space="preserve">David could have kept Ish-bosheth’s head as a trophy, or simply disposed of it without ceremony. Instead, he gave it an honorable burial in Abner’s tomb (v. 12). This was not required. No one would have criticized him for not doing it. But David honored a man who had been dishonored — a man who had been his rival, whose death served his interests — because that is what the coming king does. Readers should identify the people in their lives whose honor or dignity is easy to neglect, whose mistreatment they could ignore without consequence, and choose to honor them deliberately and without fanfare.</w:t>
      </w:r>
    </w:p>
    <w:p>
      <w:pPr>
        <w:pStyle w:val="BodyText"/>
      </w:pPr>
      <w:r>
        <w:rPr>
          <w:b/>
          <w:bCs/>
        </w:rPr>
        <w:t xml:space="preserve">5. Let David’s consistency expose the places where your integrity is situational</w:t>
      </w:r>
      <w:r>
        <w:t xml:space="preserve"> </w:t>
      </w:r>
      <w:r>
        <w:rPr>
          <w:i/>
          <w:iCs/>
        </w:rPr>
        <w:t xml:space="preserve">(Affections/Worship)</w:t>
      </w:r>
      <w:r>
        <w:t xml:space="preserve"> </w:t>
      </w:r>
      <w:r>
        <w:t xml:space="preserve">David’s response to the assassins in chapter 4 mirrors his response to the Amalekite in chapter 1. Same moral logic. Same outcome. Same appeal to the LORD who delivers him. David was consistent not because the situations were easy but because his character was settled. Readers should sit with the question: Do I behave the same way when upholding justice is personally costly as when it is personally convenient? Or does my moral clarity mysteriously improve when integrity aligns with interest? This passage is a call to the kind of character formation that does not wait to see what is at stake before deciding what is right.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passage teaches that God’s sovereignty over history is not serviced by human sin, even when human sin produces outcomes that advance His purposes. The assassination of Ish-bosheth clears the way for David’s kingship over all Israel, but God’s governance of this outcome does not extend to approving or rewarding the means. This is a crucial distinction in the theology of providence: God’s ordaining of outcomes does not constitute His endorsement of the instruments used to bring them about. The passage also teaches something about the nature of the covenant kingship for which David is being prepared — it is a kingship in which justice is not merely functional but constitutive. David cannot be the LORD’s anointed king and simultaneously receive treacherous service as legitimate tribute. The character of the king must reflect the character of the God who appointed him.</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Reformed theology’s commitment to the unconditional nature of God’s covenant purposes — that God’s election and sovereign governance do not depend on human performance or assistance — is vividly illustrated in this chapter. The kingdom comes to David not because the right people acted rightly but because the God who ordains ends also governs the means, including the judgment of sinful means that nonetheless served His larger purposes. This is the theology of Romans 8:28 and Genesis 50:20 working in real historical texture: God works all things together for good, including the wicked actions of men, while those wicked actions remain under His condemnation. Furthermore, David’s refusal to benefit from treachery is a significant typological signal. The coming King whom David foreshadows will not merely tolerate injustice being done on His behalf — He will bear injustice Himself rather than allowing His kingdom to be built on corruption. The cross is the ultimate reversal of the Rechab-and-Baanah logic: God’s kingdom advances not by the elimination of the weak and inconvenient, but by the willing sacrifice of the strong and innocent.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God’s purposes do not need your treachery, and He will not be impressed when you offer it as devotion. David’s kingdom came without murder — and it came in spite of murder. The God who governs history is not so dependent on your moral compromises that He needs them, and He is not so permissive that He ignores them. Stop trying to clear paths that God has not asked you to clear. Stop baptizing your corruption with His name. Trust the One who delivers His people from every adversity — not some, every — to be sufficient for the situation you are tempted to manage by other means.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passage to a morality tale about waiting on God.</w:t>
      </w:r>
      <w:r>
        <w:t xml:space="preserve"> </w:t>
      </w:r>
      <w:r>
        <w:t xml:space="preserve">The most common mishandling of this chapter is flattening it to</w:t>
      </w:r>
      <w:r>
        <w:t xml:space="preserve"> </w:t>
      </w:r>
      <w:r>
        <w:t xml:space="preserve">“David waited on God and we should too.”</w:t>
      </w:r>
      <w:r>
        <w:t xml:space="preserve"> </w:t>
      </w:r>
      <w:r>
        <w:t xml:space="preserve">While patient trust is a genuine application, the passage’s theological center is not David’s waiting but God’s sovereign governance of history without requiring or tolerating treacherous human assistance. Preaching patience without preaching the God who makes patience possible and warranted produces moralism, not gospel-shaped formation.</w:t>
      </w:r>
    </w:p>
    <w:p>
      <w:pPr>
        <w:numPr>
          <w:ilvl w:val="0"/>
          <w:numId w:val="1002"/>
        </w:numPr>
      </w:pPr>
      <w:r>
        <w:rPr>
          <w:b/>
          <w:bCs/>
        </w:rPr>
        <w:t xml:space="preserve">Missing the theological significance of the assassins’ self-justifying language.</w:t>
      </w:r>
      <w:r>
        <w:t xml:space="preserve"> </w:t>
      </w:r>
      <w:r>
        <w:t xml:space="preserve">When Rechab and Baanah present the head of Ish-bosheth to David, they invoke the LORD’s name —</w:t>
      </w:r>
      <w:r>
        <w:t xml:space="preserve"> </w:t>
      </w:r>
      <w:r>
        <w:t xml:space="preserve">“The LORD has avenged my lord the king this day on Saul and on his offspring”</w:t>
      </w:r>
      <w:r>
        <w:t xml:space="preserve"> </w:t>
      </w:r>
      <w:r>
        <w:t xml:space="preserve">(v. 8). This is not incidental. It is the theological error the passage most directly confronts: using God’s name to sanctify moral compromise. Expositors who skip past this verse miss the passage’s most piercing contemporary relevance. People in congregations do this regularly. The text names and judges it.</w:t>
      </w:r>
    </w:p>
    <w:p>
      <w:pPr>
        <w:numPr>
          <w:ilvl w:val="0"/>
          <w:numId w:val="1002"/>
        </w:numPr>
      </w:pPr>
      <w:r>
        <w:rPr>
          <w:b/>
          <w:bCs/>
        </w:rPr>
        <w:t xml:space="preserve">Treating David’s execution of the assassins as primarily political.</w:t>
      </w:r>
      <w:r>
        <w:t xml:space="preserve"> </w:t>
      </w:r>
      <w:r>
        <w:t xml:space="preserve">As noted in the Interpretive Evaluation, the cynical reading of David’s response as political theater rather than moral conviction fails to account for the consistent pattern across 2 Samuel 1 and 4, and undermines the entire theological portrait Samuel is building. Preachers who raise this reading without refuting it leave listeners with a David who is calculating rather than covenant-shaped — and with a diminished sense of what kind of king God was preparing.</w:t>
      </w:r>
    </w:p>
    <w:p>
      <w:pPr>
        <w:numPr>
          <w:ilvl w:val="0"/>
          <w:numId w:val="1002"/>
        </w:numPr>
      </w:pPr>
      <w:r>
        <w:rPr>
          <w:b/>
          <w:bCs/>
        </w:rPr>
        <w:t xml:space="preserve">Neglecting the parenthetical note on Mephibosheth (v. 4).</w:t>
      </w:r>
      <w:r>
        <w:t xml:space="preserve"> </w:t>
      </w:r>
      <w:r>
        <w:t xml:space="preserve">This verse is easily skipped as an interruption, but it performs important narrative work: it establishes that the line of Jonathan survives, that this survivor is non-threatening (crippled, hidden), and that David’s coming kingdom will need to reckon with him — which it does in 2 Samuel 9. Treating verse 4 as merely incidental misses the narrator’s careful construction of the story and may leave the congregation without the connective tissue between chapters.</w:t>
      </w:r>
    </w:p>
    <w:p>
      <w:pPr>
        <w:numPr>
          <w:ilvl w:val="0"/>
          <w:numId w:val="1002"/>
        </w:numPr>
      </w:pPr>
      <w:r>
        <w:rPr>
          <w:b/>
          <w:bCs/>
        </w:rPr>
        <w:t xml:space="preserve">Failing to make the typological connection to Christ.</w:t>
      </w:r>
      <w:r>
        <w:t xml:space="preserve"> </w:t>
      </w:r>
      <w:r>
        <w:t xml:space="preserve">The Reformed expositor has an obligation to show why this passage is in the canon and what it ultimately points toward. David’s refusal to benefit from the death of an innocent man — his insistence that the instruments of treachery be judged rather than rewarded — is a shadow of the coming King who does not merely refuse to benefit from injustice but absorbs it Himself. Without this canonical horizon, the passage remains an interesting piece of ancient history rather than a chapter in the unfolding story of redemption.</w:t>
      </w:r>
    </w:p>
    <w:p>
      <w:pPr>
        <w:numPr>
          <w:ilvl w:val="0"/>
          <w:numId w:val="1002"/>
        </w:numPr>
      </w:pPr>
      <w:r>
        <w:rPr>
          <w:b/>
          <w:bCs/>
        </w:rPr>
        <w:t xml:space="preserve">Over-specifying the application to dramatic, large-scale moral compromises.</w:t>
      </w:r>
      <w:r>
        <w:t xml:space="preserve"> </w:t>
      </w:r>
      <w:r>
        <w:t xml:space="preserve">Preachers often illustrate</w:t>
      </w:r>
      <w:r>
        <w:t xml:space="preserve"> </w:t>
      </w:r>
      <w:r>
        <w:t xml:space="preserve">“ends justify the means”</w:t>
      </w:r>
      <w:r>
        <w:t xml:space="preserve"> </w:t>
      </w:r>
      <w:r>
        <w:t xml:space="preserve">reasoning with extreme examples (fraud, betrayal, major ethical violations), which allows most listeners to exemption themselves from the application. The passage is more penetrating than that — the assassins believed they were doing something good and useful and loyal. The application must reach the ordinary, everyday rationalizations that feel minor but reflect the same character corruption: the small manipulation, the convenient silence, the leveraged information, the half-truth that lands you where you wanted to be.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2026-07-14T21:02:45Z</dcterms:created>
  <dcterms:modified xsi:type="dcterms:W3CDTF">2026-07-14T21:02:45Z</dcterms:modified>
</cp:coreProperties>
</file>

<file path=docProps/custom.xml><?xml version="1.0" encoding="utf-8"?>
<Properties xmlns="http://schemas.openxmlformats.org/officeDocument/2006/custom-properties" xmlns:vt="http://schemas.openxmlformats.org/officeDocument/2006/docPropsVTypes"/>
</file>